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color w:val="000000"/>
          <w:sz w:val="32"/>
          <w:szCs w:val="32"/>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32"/>
          <w:szCs w:val="32"/>
          <w:rtl w:val="0"/>
        </w:rPr>
        <w:t xml:space="preserve">Proyecto:</w:t>
      </w:r>
    </w:p>
    <w:p w:rsidR="00000000" w:rsidDel="00000000" w:rsidP="00000000" w:rsidRDefault="00000000" w:rsidRPr="00000000" w14:paraId="00000002">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Promoción del bienestar en el trabajo: guía sindical de prevención primaria en salud mental y consumos problemáticos”</w:t>
      </w:r>
    </w:p>
    <w:p w:rsidR="00000000" w:rsidDel="00000000" w:rsidP="00000000" w:rsidRDefault="00000000" w:rsidRPr="00000000" w14:paraId="00000003">
      <w:pPr>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4">
      <w:pPr>
        <w:jc w:val="left"/>
        <w:rPr>
          <w:rFonts w:ascii="Arial" w:cs="Arial" w:eastAsia="Arial" w:hAnsi="Arial"/>
          <w:b w:val="0"/>
          <w:sz w:val="26"/>
          <w:szCs w:val="26"/>
        </w:rPr>
      </w:pPr>
      <w:r w:rsidDel="00000000" w:rsidR="00000000" w:rsidRPr="00000000">
        <w:rPr>
          <w:rFonts w:ascii="Arial" w:cs="Arial" w:eastAsia="Arial" w:hAnsi="Arial"/>
          <w:b w:val="0"/>
          <w:sz w:val="26"/>
          <w:szCs w:val="26"/>
          <w:rtl w:val="0"/>
        </w:rPr>
        <w:t xml:space="preserve">FUNDAMENTACIÓN</w:t>
      </w:r>
    </w:p>
    <w:p w:rsidR="00000000" w:rsidDel="00000000" w:rsidP="00000000" w:rsidRDefault="00000000" w:rsidRPr="00000000" w14:paraId="00000005">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Desde la sanción de la Ley Nacional de Salud Mental N.º 26.657, la sociedad ha atravesado transformaciones significativas que impactan directamente en el ámbito laboral del Estado. La pandemia por Covid-19 y en la actualidad, la coyuntura económica que generan altos niveles de incertidumbre en la que estamos inmersos como sociedad, impactan directamente en el bienestar emocional de todos y todas las trabajadoras, especialmente en materia de salud mental y consumos problemáticos, generando nuevas demandas hacia las organizaciones sindicales.</w:t>
      </w:r>
    </w:p>
    <w:p w:rsidR="00000000" w:rsidDel="00000000" w:rsidP="00000000" w:rsidRDefault="00000000" w:rsidRPr="00000000" w14:paraId="00000006">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respuesta a estas necesidades, y a partir de las inquietudes expresadas por la familia de AERI, la Secretaría de la Mujer, Géneros y Diversidades impulsa esta guía como herramienta para el abordaje integral de situaciones de urgencia o emergencia en salud mental en los ámbitos de representación sindical (ARBA, Ministerio de Economía, Registro de la Propiedad, Instituto de Lotería y Casinos, entre otros).</w:t>
      </w:r>
    </w:p>
    <w:p w:rsidR="00000000" w:rsidDel="00000000" w:rsidP="00000000" w:rsidRDefault="00000000" w:rsidRPr="00000000" w14:paraId="00000007">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propuesta se orienta a fortalecer la capacitación continua, la creación de dispositivos de atención específicos y la incorporación de la perspectiva de género e interseccionalidad, reconociendo que las mujeres y diversidades atraviesan múltiples formas de discriminación en estos contextos.</w:t>
      </w:r>
    </w:p>
    <w:p w:rsidR="00000000" w:rsidDel="00000000" w:rsidP="00000000" w:rsidRDefault="00000000" w:rsidRPr="00000000" w14:paraId="00000008">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marco, se destaca el rol estratégico de FEGEPPBA como estructura federativa con capacidad de articulación intergremial e interlocución institucional con el Estado provincial. Su consolidación como actor clave permite impulsar políticas sindicales de prevención, acompañamiento y derivación en salud mental, promoviendo redes de contención y acción gremial coordinada.</w:t>
      </w:r>
    </w:p>
    <w:p w:rsidR="00000000" w:rsidDel="00000000" w:rsidP="00000000" w:rsidRDefault="00000000" w:rsidRPr="00000000" w14:paraId="00000009">
      <w:pPr>
        <w:spacing w:after="240" w:before="240" w:line="36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El fortalecimiento de esta línea de trabajo representa un compromiso con el bienestar integral de las y los trabajadores estatales, contribuyendo a un modelo sindical inclusivo, con enfoque de derechos humanos y cuidado colectivo.</w:t>
      </w:r>
      <w:r w:rsidDel="00000000" w:rsidR="00000000" w:rsidRPr="00000000">
        <w:rPr>
          <w:rtl w:val="0"/>
        </w:rPr>
      </w:r>
    </w:p>
    <w:p w:rsidR="00000000" w:rsidDel="00000000" w:rsidP="00000000" w:rsidRDefault="00000000" w:rsidRPr="00000000" w14:paraId="0000000A">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w:t>
      </w:r>
      <w:r w:rsidDel="00000000" w:rsidR="00000000" w:rsidRPr="00000000">
        <w:rPr>
          <w:rFonts w:ascii="Arial" w:cs="Arial" w:eastAsia="Arial" w:hAnsi="Arial"/>
          <w:color w:val="000000"/>
          <w:sz w:val="24"/>
          <w:szCs w:val="24"/>
          <w:rtl w:val="0"/>
        </w:rPr>
        <w:t xml:space="preserve">istema de </w:t>
      </w:r>
      <w:r w:rsidDel="00000000" w:rsidR="00000000" w:rsidRPr="00000000">
        <w:rPr>
          <w:rFonts w:ascii="Arial" w:cs="Arial" w:eastAsia="Arial" w:hAnsi="Arial"/>
          <w:sz w:val="24"/>
          <w:szCs w:val="24"/>
          <w:rtl w:val="0"/>
        </w:rPr>
        <w:t xml:space="preserve">salud está en crisis, debido al </w:t>
      </w:r>
      <w:r w:rsidDel="00000000" w:rsidR="00000000" w:rsidRPr="00000000">
        <w:rPr>
          <w:rFonts w:ascii="Arial" w:cs="Arial" w:eastAsia="Arial" w:hAnsi="Arial"/>
          <w:color w:val="000000"/>
          <w:sz w:val="24"/>
          <w:szCs w:val="24"/>
          <w:rtl w:val="0"/>
        </w:rPr>
        <w:t xml:space="preserve"> aumento de la demanda de atención psicológica, </w:t>
      </w:r>
      <w:r w:rsidDel="00000000" w:rsidR="00000000" w:rsidRPr="00000000">
        <w:rPr>
          <w:rFonts w:ascii="Arial" w:cs="Arial" w:eastAsia="Arial" w:hAnsi="Arial"/>
          <w:sz w:val="24"/>
          <w:szCs w:val="24"/>
          <w:rtl w:val="0"/>
        </w:rPr>
        <w:t xml:space="preserve">sumando la</w:t>
      </w:r>
      <w:r w:rsidDel="00000000" w:rsidR="00000000" w:rsidRPr="00000000">
        <w:rPr>
          <w:rFonts w:ascii="Arial" w:cs="Arial" w:eastAsia="Arial" w:hAnsi="Arial"/>
          <w:color w:val="000000"/>
          <w:sz w:val="24"/>
          <w:szCs w:val="24"/>
          <w:rtl w:val="0"/>
        </w:rPr>
        <w:t xml:space="preserve"> desigualdad territorial y dificultades de acceso en el sector público.  </w:t>
      </w: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Nuestra organización está comprometida con la igualdad y la inclusión, aplica  </w:t>
      </w:r>
      <w:r w:rsidDel="00000000" w:rsidR="00000000" w:rsidRPr="00000000">
        <w:rPr>
          <w:rFonts w:ascii="Arial" w:cs="Arial" w:eastAsia="Arial" w:hAnsi="Arial"/>
          <w:color w:val="000000"/>
          <w:sz w:val="24"/>
          <w:szCs w:val="24"/>
          <w:rtl w:val="0"/>
        </w:rPr>
        <w:t xml:space="preserve">la perspectiva </w:t>
      </w:r>
      <w:r w:rsidDel="00000000" w:rsidR="00000000" w:rsidRPr="00000000">
        <w:rPr>
          <w:rFonts w:ascii="Arial" w:cs="Arial" w:eastAsia="Arial" w:hAnsi="Arial"/>
          <w:sz w:val="24"/>
          <w:szCs w:val="24"/>
          <w:rtl w:val="0"/>
        </w:rPr>
        <w:t xml:space="preserve">de género y el enfoque en derechos y humanos, </w:t>
      </w:r>
      <w:r w:rsidDel="00000000" w:rsidR="00000000" w:rsidRPr="00000000">
        <w:rPr>
          <w:rFonts w:ascii="Arial" w:cs="Arial" w:eastAsia="Arial" w:hAnsi="Arial"/>
          <w:color w:val="000000"/>
          <w:sz w:val="24"/>
          <w:szCs w:val="24"/>
          <w:rtl w:val="0"/>
        </w:rPr>
        <w:t xml:space="preserve">debemos responder a las verdaderas necesidades e intereses de </w:t>
      </w:r>
      <w:r w:rsidDel="00000000" w:rsidR="00000000" w:rsidRPr="00000000">
        <w:rPr>
          <w:rFonts w:ascii="Arial" w:cs="Arial" w:eastAsia="Arial" w:hAnsi="Arial"/>
          <w:sz w:val="24"/>
          <w:szCs w:val="24"/>
          <w:rtl w:val="0"/>
        </w:rPr>
        <w:t xml:space="preserve">todos los trabajadores, por ello, e</w:t>
      </w:r>
      <w:r w:rsidDel="00000000" w:rsidR="00000000" w:rsidRPr="00000000">
        <w:rPr>
          <w:rFonts w:ascii="Arial" w:cs="Arial" w:eastAsia="Arial" w:hAnsi="Arial"/>
          <w:color w:val="000000"/>
          <w:sz w:val="24"/>
          <w:szCs w:val="24"/>
          <w:rtl w:val="0"/>
        </w:rPr>
        <w:t xml:space="preserve">s menester la adopción de medidas urgentes encaminadas a: </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OBJETIVOS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Prevenir los problemas de salud mental relacionados con el trabajo mediante la implementación de intervenciones institucionales directamente dirigidas a</w:t>
      </w:r>
      <w:r w:rsidDel="00000000" w:rsidR="00000000" w:rsidRPr="00000000">
        <w:rPr>
          <w:rFonts w:ascii="Arial" w:cs="Arial" w:eastAsia="Arial" w:hAnsi="Arial"/>
          <w:sz w:val="24"/>
          <w:szCs w:val="24"/>
          <w:rtl w:val="0"/>
        </w:rPr>
        <w:t xml:space="preserve"> preservar y cuidar los entornos y condiciones  laborales que alientan el cuidado de la salud mental.</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 Se entiende por intervención institucional la que evalúa y luego mitiga, modifica o elimina los riesgos para la salud mental en el lugar de trabajo. (Ej. la facilitación de modalidades de trabajo flexibles o la implementación de marcos para hacer frente a la violencia y el acoso en el trabajo).</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Proteger y promover la salud mental en el trabajo fortaleciendo las competencias encaminadas a que se reconozcan estos problemas y a que se tomen medidas al respecto, en particular de las personas responsables de supervisar a otras.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Apoyar a la</w:t>
      </w:r>
      <w:r w:rsidDel="00000000" w:rsidR="00000000" w:rsidRPr="00000000">
        <w:rPr>
          <w:rFonts w:ascii="Arial" w:cs="Arial" w:eastAsia="Arial" w:hAnsi="Arial"/>
          <w:sz w:val="24"/>
          <w:szCs w:val="24"/>
          <w:rtl w:val="0"/>
        </w:rPr>
        <w:t xml:space="preserve">s personas trabajadoras </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 con problemas de salud mental para que participen y prosperen en el trabajo, facilitando a determinados trabajadores horarios flexibles, tiempo adicional para completar las tareas, asignaciones modificadas a fin de reducir el estrés, tiempo libre para citas de salud, o reuniones regulares de apoyo con los supervisores.</w:t>
      </w: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DESTINATARIOS/AS</w:t>
      </w: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Trabajadores/as afiliados/as </w:t>
      </w:r>
      <w:r w:rsidDel="00000000" w:rsidR="00000000" w:rsidRPr="00000000">
        <w:rPr>
          <w:rFonts w:ascii="Arial" w:cs="Arial" w:eastAsia="Arial" w:hAnsi="Arial"/>
          <w:sz w:val="24"/>
          <w:szCs w:val="24"/>
          <w:rtl w:val="0"/>
        </w:rPr>
        <w:t xml:space="preserve">de las organizaciones gremiales FEGEPBA.</w:t>
      </w:r>
      <w:r w:rsidDel="00000000" w:rsidR="00000000" w:rsidRPr="00000000">
        <w:rPr>
          <w:rtl w:val="0"/>
        </w:rPr>
      </w:r>
    </w:p>
    <w:p w:rsidR="00000000" w:rsidDel="00000000" w:rsidP="00000000" w:rsidRDefault="00000000" w:rsidRPr="00000000" w14:paraId="00000012">
      <w:pPr>
        <w:shd w:fill="ffffff" w:val="clea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shd w:fill="ffffff" w:val="clea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ARTÍCULO 1º. ÁMBITO DE APLICACIÓN </w:t>
      </w:r>
      <w:r w:rsidDel="00000000" w:rsidR="00000000" w:rsidRPr="00000000">
        <w:rPr>
          <w:rtl w:val="0"/>
        </w:rPr>
      </w:r>
    </w:p>
    <w:p w:rsidR="00000000" w:rsidDel="00000000" w:rsidP="00000000" w:rsidRDefault="00000000" w:rsidRPr="00000000" w14:paraId="00000015">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Para t</w:t>
      </w:r>
      <w:r w:rsidDel="00000000" w:rsidR="00000000" w:rsidRPr="00000000">
        <w:rPr>
          <w:rFonts w:ascii="Arial" w:cs="Arial" w:eastAsia="Arial" w:hAnsi="Arial"/>
          <w:color w:val="000000"/>
          <w:sz w:val="24"/>
          <w:szCs w:val="24"/>
          <w:rtl w:val="0"/>
        </w:rPr>
        <w:t xml:space="preserve">od</w:t>
      </w:r>
      <w:r w:rsidDel="00000000" w:rsidR="00000000" w:rsidRPr="00000000">
        <w:rPr>
          <w:rFonts w:ascii="Arial" w:cs="Arial" w:eastAsia="Arial" w:hAnsi="Arial"/>
          <w:sz w:val="24"/>
          <w:szCs w:val="24"/>
          <w:rtl w:val="0"/>
        </w:rPr>
        <w:t xml:space="preserve">as las personas </w:t>
      </w:r>
      <w:r w:rsidDel="00000000" w:rsidR="00000000" w:rsidRPr="00000000">
        <w:rPr>
          <w:rFonts w:ascii="Arial" w:cs="Arial" w:eastAsia="Arial" w:hAnsi="Arial"/>
          <w:color w:val="000000"/>
          <w:sz w:val="24"/>
          <w:szCs w:val="24"/>
          <w:rtl w:val="0"/>
        </w:rPr>
        <w:t xml:space="preserve">afiliadas de </w:t>
      </w:r>
      <w:r w:rsidDel="00000000" w:rsidR="00000000" w:rsidRPr="00000000">
        <w:rPr>
          <w:rFonts w:ascii="Arial" w:cs="Arial" w:eastAsia="Arial" w:hAnsi="Arial"/>
          <w:sz w:val="24"/>
          <w:szCs w:val="24"/>
          <w:rtl w:val="0"/>
        </w:rPr>
        <w:t xml:space="preserve">gremios federados en FEGEPPBA</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16">
      <w:pPr>
        <w:shd w:fill="ffffff" w:val="clea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ARTICULO 2°. DENOMINACIÓN de URGENCIA EN SALUD MENTAL</w:t>
      </w:r>
      <w:r w:rsidDel="00000000" w:rsidR="00000000" w:rsidRPr="00000000">
        <w:rPr>
          <w:rtl w:val="0"/>
        </w:rPr>
      </w:r>
    </w:p>
    <w:p w:rsidR="00000000" w:rsidDel="00000000" w:rsidP="00000000" w:rsidRDefault="00000000" w:rsidRPr="00000000" w14:paraId="00000018">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Se determina como urgencia toda aquella alteración del estado emocional y/o del comportamiento que se manifiesta en forma abrupta o repentina y que implica un riesgo </w:t>
      </w:r>
      <w:r w:rsidDel="00000000" w:rsidR="00000000" w:rsidRPr="00000000">
        <w:rPr>
          <w:rFonts w:ascii="Arial" w:cs="Arial" w:eastAsia="Arial" w:hAnsi="Arial"/>
          <w:sz w:val="24"/>
          <w:szCs w:val="24"/>
          <w:rtl w:val="0"/>
        </w:rPr>
        <w:t xml:space="preserve">cierto</w:t>
      </w:r>
      <w:r w:rsidDel="00000000" w:rsidR="00000000" w:rsidRPr="00000000">
        <w:rPr>
          <w:rFonts w:ascii="Arial" w:cs="Arial" w:eastAsia="Arial" w:hAnsi="Arial"/>
          <w:color w:val="000000"/>
          <w:sz w:val="24"/>
          <w:szCs w:val="24"/>
          <w:rtl w:val="0"/>
        </w:rPr>
        <w:t xml:space="preserve"> e</w:t>
      </w:r>
      <w:r w:rsidDel="00000000" w:rsidR="00000000" w:rsidRPr="00000000">
        <w:rPr>
          <w:rFonts w:ascii="Arial" w:cs="Arial" w:eastAsia="Arial" w:hAnsi="Arial"/>
          <w:sz w:val="24"/>
          <w:szCs w:val="24"/>
          <w:rtl w:val="0"/>
        </w:rPr>
        <w:t xml:space="preserve"> inminente para la vida de la persona o para terceros</w:t>
      </w:r>
      <w:r w:rsidDel="00000000" w:rsidR="00000000" w:rsidRPr="00000000">
        <w:rPr>
          <w:rFonts w:ascii="Arial" w:cs="Arial" w:eastAsia="Arial" w:hAnsi="Arial"/>
          <w:color w:val="000000"/>
          <w:sz w:val="24"/>
          <w:szCs w:val="24"/>
          <w:rtl w:val="0"/>
        </w:rPr>
        <w:t xml:space="preserve">. La persona o el entorno debe evidenciar un cambio o perturbación evidente y crítico en las dimensiones de la conducta, el pensamiento y/o sentimiento, o situación que implique riesgo de vida para sí mismo/a o para terceros.</w:t>
      </w:r>
      <w:r w:rsidDel="00000000" w:rsidR="00000000" w:rsidRPr="00000000">
        <w:rPr>
          <w:rtl w:val="0"/>
        </w:rPr>
      </w:r>
    </w:p>
    <w:p w:rsidR="00000000" w:rsidDel="00000000" w:rsidP="00000000" w:rsidRDefault="00000000" w:rsidRPr="00000000" w14:paraId="00000019">
      <w:pPr>
        <w:shd w:fill="ffffff" w:val="clea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ARTÍCULO 3º. DE LOS PRINCIPIOS </w:t>
      </w:r>
      <w:r w:rsidDel="00000000" w:rsidR="00000000" w:rsidRPr="00000000">
        <w:rPr>
          <w:rFonts w:ascii="Arial" w:cs="Arial" w:eastAsia="Arial" w:hAnsi="Arial"/>
          <w:sz w:val="24"/>
          <w:szCs w:val="24"/>
          <w:rtl w:val="0"/>
        </w:rPr>
        <w:t xml:space="preserve">RECTORES</w:t>
      </w:r>
      <w:r w:rsidDel="00000000" w:rsidR="00000000" w:rsidRPr="00000000">
        <w:rPr>
          <w:rtl w:val="0"/>
        </w:rPr>
      </w:r>
    </w:p>
    <w:p w:rsidR="00000000" w:rsidDel="00000000" w:rsidP="00000000" w:rsidRDefault="00000000" w:rsidRPr="00000000" w14:paraId="0000001B">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 Respeto y promoción del modelo de base </w:t>
      </w:r>
      <w:r w:rsidDel="00000000" w:rsidR="00000000" w:rsidRPr="00000000">
        <w:rPr>
          <w:rFonts w:ascii="Arial" w:cs="Arial" w:eastAsia="Arial" w:hAnsi="Arial"/>
          <w:sz w:val="24"/>
          <w:szCs w:val="24"/>
          <w:rtl w:val="0"/>
        </w:rPr>
        <w:t xml:space="preserve">comunitaria, que incluye la consideración y el apoyo al entorno social y familiar de la persona con el debido consentimiento del trabajador/a. </w:t>
      </w:r>
      <w:r w:rsidDel="00000000" w:rsidR="00000000" w:rsidRPr="00000000">
        <w:rPr>
          <w:rFonts w:ascii="Arial" w:cs="Arial" w:eastAsia="Arial" w:hAnsi="Arial"/>
          <w:color w:val="000000"/>
          <w:sz w:val="24"/>
          <w:szCs w:val="24"/>
          <w:rtl w:val="0"/>
        </w:rPr>
        <w:t xml:space="preserve"> Deber</w:t>
      </w:r>
      <w:r w:rsidDel="00000000" w:rsidR="00000000" w:rsidRPr="00000000">
        <w:rPr>
          <w:rFonts w:ascii="Arial" w:cs="Arial" w:eastAsia="Arial" w:hAnsi="Arial"/>
          <w:sz w:val="24"/>
          <w:szCs w:val="24"/>
          <w:rtl w:val="0"/>
        </w:rPr>
        <w:t xml:space="preserve">á contemplarse </w:t>
      </w:r>
      <w:r w:rsidDel="00000000" w:rsidR="00000000" w:rsidRPr="00000000">
        <w:rPr>
          <w:rFonts w:ascii="Arial" w:cs="Arial" w:eastAsia="Arial" w:hAnsi="Arial"/>
          <w:color w:val="000000"/>
          <w:sz w:val="24"/>
          <w:szCs w:val="24"/>
          <w:rtl w:val="0"/>
        </w:rPr>
        <w:t xml:space="preserve">la normativa vigente y  los principios internacionales en materia de derechos humanos, perspectiva de género y discapacidad en el análisis de las situaciones, procurando contemplar diferencias para garantizar un abordaje integral que incluya todas las dimensiones del cuidado.</w:t>
      </w:r>
      <w:r w:rsidDel="00000000" w:rsidR="00000000" w:rsidRPr="00000000">
        <w:rPr>
          <w:rtl w:val="0"/>
        </w:rPr>
      </w:r>
    </w:p>
    <w:p w:rsidR="00000000" w:rsidDel="00000000" w:rsidP="00000000" w:rsidRDefault="00000000" w:rsidRPr="00000000" w14:paraId="0000001C">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 Confidencialidad en cada situación y respeto a la intimidad de las personas, teniendo en cuenta el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onsentimiento</w:t>
      </w:r>
      <w:r w:rsidDel="00000000" w:rsidR="00000000" w:rsidRPr="00000000">
        <w:rPr>
          <w:rFonts w:ascii="Arial" w:cs="Arial" w:eastAsia="Arial" w:hAnsi="Arial"/>
          <w:sz w:val="24"/>
          <w:szCs w:val="24"/>
          <w:rtl w:val="0"/>
        </w:rPr>
        <w:t xml:space="preserve"> desde la perspectiva del respeto al derecho humano a la salud</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D">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 Abordaje integral e interdisciplinario de las situaciones de crisis, emergencia en salud mental y/o consumos problemáticos. </w:t>
      </w:r>
      <w:r w:rsidDel="00000000" w:rsidR="00000000" w:rsidRPr="00000000">
        <w:rPr>
          <w:rtl w:val="0"/>
        </w:rPr>
      </w:r>
    </w:p>
    <w:p w:rsidR="00000000" w:rsidDel="00000000" w:rsidP="00000000" w:rsidRDefault="00000000" w:rsidRPr="00000000" w14:paraId="0000001E">
      <w:pPr>
        <w:shd w:fill="ffffff" w:val="clea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ARTÍCULO 4°. OBJETIVOS </w:t>
      </w:r>
      <w:r w:rsidDel="00000000" w:rsidR="00000000" w:rsidRPr="00000000">
        <w:rPr>
          <w:rtl w:val="0"/>
        </w:rPr>
      </w:r>
    </w:p>
    <w:p w:rsidR="00000000" w:rsidDel="00000000" w:rsidP="00000000" w:rsidRDefault="00000000" w:rsidRPr="00000000" w14:paraId="00000020">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 Establecer acciones y directrices estandarizadas que permitan realizar una respuesta adecuada consistente en identificar, contener, acompañar y derivar situaciones de emergencia en salud mental y/o consumos problemáticos ocurridos en situación laboral de afiliados/as </w:t>
      </w:r>
      <w:r w:rsidDel="00000000" w:rsidR="00000000" w:rsidRPr="00000000">
        <w:rPr>
          <w:rFonts w:ascii="Arial" w:cs="Arial" w:eastAsia="Arial" w:hAnsi="Arial"/>
          <w:sz w:val="24"/>
          <w:szCs w:val="24"/>
          <w:rtl w:val="0"/>
        </w:rPr>
        <w:t xml:space="preserve">a gremios federados.</w:t>
      </w:r>
      <w:r w:rsidDel="00000000" w:rsidR="00000000" w:rsidRPr="00000000">
        <w:rPr>
          <w:rtl w:val="0"/>
        </w:rPr>
      </w:r>
    </w:p>
    <w:p w:rsidR="00000000" w:rsidDel="00000000" w:rsidP="00000000" w:rsidRDefault="00000000" w:rsidRPr="00000000" w14:paraId="00000021">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 Promover el ejercicio de buenas prácticas de cuidados acorde a la legislación vigente en el marco de protección de los derechos de las personas con problemas de salud mental y/o consumos problemáticos de los empleados/as. </w:t>
      </w:r>
      <w:r w:rsidDel="00000000" w:rsidR="00000000" w:rsidRPr="00000000">
        <w:rPr>
          <w:rtl w:val="0"/>
        </w:rPr>
      </w:r>
    </w:p>
    <w:p w:rsidR="00000000" w:rsidDel="00000000" w:rsidP="00000000" w:rsidRDefault="00000000" w:rsidRPr="00000000" w14:paraId="00000022">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 Generar un ambiente de contención y confianza ofreciendo asistencias y apoyos necesarios o requeridos según cada situación y contexto respetando la perspectiva de género.</w:t>
      </w:r>
      <w:r w:rsidDel="00000000" w:rsidR="00000000" w:rsidRPr="00000000">
        <w:rPr>
          <w:rtl w:val="0"/>
        </w:rPr>
      </w:r>
    </w:p>
    <w:p w:rsidR="00000000" w:rsidDel="00000000" w:rsidP="00000000" w:rsidRDefault="00000000" w:rsidRPr="00000000" w14:paraId="00000023">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 Llevar a cabo acciones de capacitación y sensibilización dirigidas a los agentes, con el objetivo de promover la comprensión, empatía y respeto hacia las personas que enfrentan situaciones de consumo problemático y/o salud mental. </w:t>
      </w:r>
      <w:r w:rsidDel="00000000" w:rsidR="00000000" w:rsidRPr="00000000">
        <w:rPr>
          <w:rtl w:val="0"/>
        </w:rPr>
      </w:r>
    </w:p>
    <w:p w:rsidR="00000000" w:rsidDel="00000000" w:rsidP="00000000" w:rsidRDefault="00000000" w:rsidRPr="00000000" w14:paraId="00000024">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e) Promover la formación y actualización constante en temas relacionados con la salud mental y/o consumos problemáticos.</w:t>
      </w:r>
      <w:r w:rsidDel="00000000" w:rsidR="00000000" w:rsidRPr="00000000">
        <w:rPr>
          <w:rtl w:val="0"/>
        </w:rPr>
      </w:r>
    </w:p>
    <w:p w:rsidR="00000000" w:rsidDel="00000000" w:rsidP="00000000" w:rsidRDefault="00000000" w:rsidRPr="00000000" w14:paraId="00000025">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f) Establecer mecanismos de monitoreo para evaluar la efectividad y el impacto del protocolo.</w:t>
      </w:r>
      <w:r w:rsidDel="00000000" w:rsidR="00000000" w:rsidRPr="00000000">
        <w:rPr>
          <w:rtl w:val="0"/>
        </w:rPr>
      </w:r>
    </w:p>
    <w:p w:rsidR="00000000" w:rsidDel="00000000" w:rsidP="00000000" w:rsidRDefault="00000000" w:rsidRPr="00000000" w14:paraId="00000026">
      <w:pPr>
        <w:shd w:fill="ffffff" w:val="clea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Promover la intervención de un observador del área de Salud de la Dirección de Consumo y Salud Mental.</w:t>
      </w:r>
    </w:p>
    <w:p w:rsidR="00000000" w:rsidDel="00000000" w:rsidP="00000000" w:rsidRDefault="00000000" w:rsidRPr="00000000" w14:paraId="00000027">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ARTÍCULO 5°. COMISIÓN DE SALUD MENTAL Y CONSUMOS PROBLEMÁTICOS. </w:t>
      </w:r>
      <w:r w:rsidDel="00000000" w:rsidR="00000000" w:rsidRPr="00000000">
        <w:rPr>
          <w:rtl w:val="0"/>
        </w:rPr>
      </w:r>
    </w:p>
    <w:p w:rsidR="00000000" w:rsidDel="00000000" w:rsidP="00000000" w:rsidRDefault="00000000" w:rsidRPr="00000000" w14:paraId="00000029">
      <w:pPr>
        <w:shd w:fill="ffffff" w:val="clea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 </w:t>
      </w:r>
      <w:r w:rsidDel="00000000" w:rsidR="00000000" w:rsidRPr="00000000">
        <w:rPr>
          <w:rFonts w:ascii="Arial" w:cs="Arial" w:eastAsia="Arial" w:hAnsi="Arial"/>
          <w:color w:val="000000"/>
          <w:sz w:val="24"/>
          <w:szCs w:val="24"/>
          <w:rtl w:val="0"/>
        </w:rPr>
        <w:t xml:space="preserve">deberá conformar una comisión conformada por profesionales idóneos para el abordaje de los problemas de salud mental y consumos problemáticos, a saber: psicólogo/a, psiq</w:t>
      </w:r>
      <w:r w:rsidDel="00000000" w:rsidR="00000000" w:rsidRPr="00000000">
        <w:rPr>
          <w:rFonts w:ascii="Arial" w:cs="Arial" w:eastAsia="Arial" w:hAnsi="Arial"/>
          <w:sz w:val="24"/>
          <w:szCs w:val="24"/>
          <w:rtl w:val="0"/>
        </w:rPr>
        <w:t xml:space="preserve">uiatra </w:t>
      </w:r>
      <w:r w:rsidDel="00000000" w:rsidR="00000000" w:rsidRPr="00000000">
        <w:rPr>
          <w:rFonts w:ascii="Arial" w:cs="Arial" w:eastAsia="Arial" w:hAnsi="Arial"/>
          <w:color w:val="000000"/>
          <w:sz w:val="24"/>
          <w:szCs w:val="24"/>
          <w:rtl w:val="0"/>
        </w:rPr>
        <w:t xml:space="preserve">abogado/a, trabajador/a social, integrantes de la comisión directiva y/o quien ella designe como  representante</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color w:val="000000"/>
          <w:sz w:val="24"/>
          <w:szCs w:val="24"/>
          <w:rtl w:val="0"/>
        </w:rPr>
        <w:t xml:space="preserve">gremial</w:t>
      </w:r>
      <w:r w:rsidDel="00000000" w:rsidR="00000000" w:rsidRPr="00000000">
        <w:rPr>
          <w:rFonts w:ascii="Arial" w:cs="Arial" w:eastAsia="Arial" w:hAnsi="Arial"/>
          <w:sz w:val="24"/>
          <w:szCs w:val="24"/>
          <w:rtl w:val="0"/>
        </w:rPr>
        <w:t xml:space="preserve">es FEGEPPBA, actores de Salud PBA y de los Organismos estatales.</w:t>
      </w:r>
      <w:r w:rsidDel="00000000" w:rsidR="00000000" w:rsidRPr="00000000">
        <w:rPr>
          <w:rtl w:val="0"/>
        </w:rPr>
      </w:r>
    </w:p>
    <w:p w:rsidR="00000000" w:rsidDel="00000000" w:rsidP="00000000" w:rsidRDefault="00000000" w:rsidRPr="00000000" w14:paraId="0000002A">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 sus funciones serán:</w:t>
      </w:r>
      <w:r w:rsidDel="00000000" w:rsidR="00000000" w:rsidRPr="00000000">
        <w:rPr>
          <w:rtl w:val="0"/>
        </w:rPr>
      </w:r>
    </w:p>
    <w:p w:rsidR="00000000" w:rsidDel="00000000" w:rsidP="00000000" w:rsidRDefault="00000000" w:rsidRPr="00000000" w14:paraId="0000002B">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Asesorar sobre el ejercicio de buenas prácticas acordes a la legislación vigente en el marco de la protección de los derechos en salud mental y/o consumos problemáticos.</w:t>
      </w:r>
      <w:r w:rsidDel="00000000" w:rsidR="00000000" w:rsidRPr="00000000">
        <w:rPr>
          <w:rtl w:val="0"/>
        </w:rPr>
      </w:r>
    </w:p>
    <w:p w:rsidR="00000000" w:rsidDel="00000000" w:rsidP="00000000" w:rsidRDefault="00000000" w:rsidRPr="00000000" w14:paraId="0000002C">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 Fomentar la actualización constante de profesionales involucrados en la implementación de este protocolo. Capacitar y sensibilizar.</w:t>
      </w:r>
      <w:r w:rsidDel="00000000" w:rsidR="00000000" w:rsidRPr="00000000">
        <w:rPr>
          <w:rtl w:val="0"/>
        </w:rPr>
      </w:r>
    </w:p>
    <w:p w:rsidR="00000000" w:rsidDel="00000000" w:rsidP="00000000" w:rsidRDefault="00000000" w:rsidRPr="00000000" w14:paraId="0000002D">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Acordar un PROCEDIMIENTO o G</w:t>
      </w:r>
      <w:r w:rsidDel="00000000" w:rsidR="00000000" w:rsidRPr="00000000">
        <w:rPr>
          <w:rFonts w:ascii="Arial" w:cs="Arial" w:eastAsia="Arial" w:hAnsi="Arial"/>
          <w:sz w:val="24"/>
          <w:szCs w:val="24"/>
          <w:rtl w:val="0"/>
        </w:rPr>
        <w:t xml:space="preserve">UIA</w:t>
      </w:r>
      <w:r w:rsidDel="00000000" w:rsidR="00000000" w:rsidRPr="00000000">
        <w:rPr>
          <w:rFonts w:ascii="Arial" w:cs="Arial" w:eastAsia="Arial" w:hAnsi="Arial"/>
          <w:color w:val="000000"/>
          <w:sz w:val="24"/>
          <w:szCs w:val="24"/>
          <w:rtl w:val="0"/>
        </w:rPr>
        <w:t xml:space="preserve"> DE ACTUACIÓN ANTE EMERGENCIAS MÉDICAS EN SALUD MENTAL</w:t>
      </w:r>
      <w:r w:rsidDel="00000000" w:rsidR="00000000" w:rsidRPr="00000000">
        <w:rPr>
          <w:rtl w:val="0"/>
        </w:rPr>
      </w:r>
    </w:p>
    <w:p w:rsidR="00000000" w:rsidDel="00000000" w:rsidP="00000000" w:rsidRDefault="00000000" w:rsidRPr="00000000" w14:paraId="0000002E">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Participación </w:t>
      </w:r>
      <w:r w:rsidDel="00000000" w:rsidR="00000000" w:rsidRPr="00000000">
        <w:rPr>
          <w:rFonts w:ascii="Arial" w:cs="Arial" w:eastAsia="Arial" w:hAnsi="Arial"/>
          <w:sz w:val="24"/>
          <w:szCs w:val="24"/>
          <w:rtl w:val="0"/>
        </w:rPr>
        <w:t xml:space="preserve">gremial en los </w:t>
      </w:r>
      <w:r w:rsidDel="00000000" w:rsidR="00000000" w:rsidRPr="00000000">
        <w:rPr>
          <w:rFonts w:ascii="Arial" w:cs="Arial" w:eastAsia="Arial" w:hAnsi="Arial"/>
          <w:color w:val="000000"/>
          <w:sz w:val="24"/>
          <w:szCs w:val="24"/>
          <w:rtl w:val="0"/>
        </w:rPr>
        <w:t xml:space="preserve">ateneos para decidir y/o derivar según el caso. Para las decisiones de internación, será obligatorio el dictamen de al menos dos profesionales de distintas disciplinas.</w:t>
      </w:r>
      <w:r w:rsidDel="00000000" w:rsidR="00000000" w:rsidRPr="00000000">
        <w:rPr>
          <w:rtl w:val="0"/>
        </w:rPr>
      </w:r>
    </w:p>
    <w:p w:rsidR="00000000" w:rsidDel="00000000" w:rsidP="00000000" w:rsidRDefault="00000000" w:rsidRPr="00000000" w14:paraId="0000002F">
      <w:pPr>
        <w:shd w:fill="ffffff" w:val="clea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ARTÍCULO 6°. </w:t>
      </w:r>
      <w:r w:rsidDel="00000000" w:rsidR="00000000" w:rsidRPr="00000000">
        <w:rPr>
          <w:rFonts w:ascii="Arial" w:cs="Arial" w:eastAsia="Arial" w:hAnsi="Arial"/>
          <w:sz w:val="24"/>
          <w:szCs w:val="24"/>
          <w:rtl w:val="0"/>
        </w:rPr>
        <w:t xml:space="preserve">ÓRGANO RECTOR</w:t>
      </w:r>
      <w:r w:rsidDel="00000000" w:rsidR="00000000" w:rsidRPr="00000000">
        <w:rPr>
          <w:rFonts w:ascii="Arial" w:cs="Arial" w:eastAsia="Arial" w:hAnsi="Arial"/>
          <w:color w:val="000000"/>
          <w:sz w:val="24"/>
          <w:szCs w:val="24"/>
          <w:rtl w:val="0"/>
        </w:rPr>
        <w:t xml:space="preserve"> PARA LA REGLAMENTACIÓN DE</w:t>
      </w:r>
      <w:r w:rsidDel="00000000" w:rsidR="00000000" w:rsidRPr="00000000">
        <w:rPr>
          <w:rFonts w:ascii="Arial" w:cs="Arial" w:eastAsia="Arial" w:hAnsi="Arial"/>
          <w:sz w:val="24"/>
          <w:szCs w:val="24"/>
          <w:rtl w:val="0"/>
        </w:rPr>
        <w:t xml:space="preserve"> LA GUIA</w:t>
      </w:r>
      <w:r w:rsidDel="00000000" w:rsidR="00000000" w:rsidRPr="00000000">
        <w:rPr>
          <w:rFonts w:ascii="Arial" w:cs="Arial" w:eastAsia="Arial" w:hAnsi="Arial"/>
          <w:color w:val="000000"/>
          <w:sz w:val="24"/>
          <w:szCs w:val="24"/>
          <w:rtl w:val="0"/>
        </w:rPr>
        <w:t xml:space="preserve">. La Comisión Directiva de FEGEPPBA dictará normas aclaratorias, interpretativas y complementarias que fueran necesarias para la aplicación del presente protocolo. Dichas normas se </w:t>
      </w:r>
      <w:r w:rsidDel="00000000" w:rsidR="00000000" w:rsidRPr="00000000">
        <w:rPr>
          <w:rFonts w:ascii="Arial" w:cs="Arial" w:eastAsia="Arial" w:hAnsi="Arial"/>
          <w:sz w:val="24"/>
          <w:szCs w:val="24"/>
          <w:rtl w:val="0"/>
        </w:rPr>
        <w:t xml:space="preserve">elaborarán en</w:t>
      </w:r>
      <w:r w:rsidDel="00000000" w:rsidR="00000000" w:rsidRPr="00000000">
        <w:rPr>
          <w:rFonts w:ascii="Arial" w:cs="Arial" w:eastAsia="Arial" w:hAnsi="Arial"/>
          <w:color w:val="000000"/>
          <w:sz w:val="24"/>
          <w:szCs w:val="24"/>
          <w:rtl w:val="0"/>
        </w:rPr>
        <w:t xml:space="preserve"> consulta con la Comisión de Salud Mental y Consumos Problemáticos, garantizando así un enfoque técnico y basado en derecho. </w:t>
      </w:r>
    </w:p>
    <w:p w:rsidR="00000000" w:rsidDel="00000000" w:rsidP="00000000" w:rsidRDefault="00000000" w:rsidRPr="00000000" w14:paraId="00000030">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Comisión Redactora: </w:t>
      </w:r>
    </w:p>
    <w:p w:rsidR="00000000" w:rsidDel="00000000" w:rsidP="00000000" w:rsidRDefault="00000000" w:rsidRPr="00000000" w14:paraId="00000031">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Maria Cecilia Delgado  ( coordinación)</w:t>
      </w:r>
    </w:p>
    <w:p w:rsidR="00000000" w:rsidDel="00000000" w:rsidP="00000000" w:rsidRDefault="00000000" w:rsidRPr="00000000" w14:paraId="00000032">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Bettiana Pustilnick ( Necochea)</w:t>
      </w:r>
    </w:p>
    <w:p w:rsidR="00000000" w:rsidDel="00000000" w:rsidP="00000000" w:rsidRDefault="00000000" w:rsidRPr="00000000" w14:paraId="00000033">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Vivian Rigo ( Olavarria)</w:t>
      </w:r>
    </w:p>
    <w:p w:rsidR="00000000" w:rsidDel="00000000" w:rsidP="00000000" w:rsidRDefault="00000000" w:rsidRPr="00000000" w14:paraId="00000034">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Graciela Kracover ( Casa Central)</w:t>
      </w:r>
    </w:p>
    <w:p w:rsidR="00000000" w:rsidDel="00000000" w:rsidP="00000000" w:rsidRDefault="00000000" w:rsidRPr="00000000" w14:paraId="00000035">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Jorgelina Ramirez (Economia)</w:t>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2159952</wp:posOffset>
              </wp:positionH>
              <wp:positionV relativeFrom="paragraph">
                <wp:posOffset>-4761</wp:posOffset>
              </wp:positionV>
              <wp:extent cx="1292225" cy="353060"/>
              <wp:effectExtent b="0" l="0" r="0" t="0"/>
              <wp:wrapNone/>
              <wp:docPr id="2" name=""/>
              <a:graphic>
                <a:graphicData uri="http://schemas.microsoft.com/office/word/2010/wordprocessingShape">
                  <wps:wsp>
                    <wps:cNvSpPr/>
                    <wps:cNvPr id="2" name="Shape 2"/>
                    <wps:spPr>
                      <a:xfrm>
                        <a:off x="4704650" y="3608233"/>
                        <a:ext cx="1282700" cy="343535"/>
                      </a:xfrm>
                      <a:prstGeom prst="ellipseRibbon">
                        <a:avLst>
                          <a:gd fmla="val 25000" name="adj1"/>
                          <a:gd fmla="val 50000" name="adj2"/>
                          <a:gd fmla="val 12500" name="adj3"/>
                        </a:avLst>
                      </a:prstGeom>
                      <a:noFill/>
                      <a:ln cap="flat" cmpd="sng" w="9525">
                        <a:solidFill>
                          <a:srgbClr val="71A0DC"/>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 MERGEFORMAT</w:t>
                          </w:r>
                          <w:r w:rsidDel="00000000" w:rsidR="00000000" w:rsidRPr="00000000">
                            <w:rPr>
                              <w:rFonts w:ascii="Calibri" w:cs="Calibri" w:eastAsia="Calibri" w:hAnsi="Calibri"/>
                              <w:b w:val="0"/>
                              <w:i w:val="0"/>
                              <w:smallCaps w:val="0"/>
                              <w:strike w:val="0"/>
                              <w:color w:val="4f81bd"/>
                              <w:sz w:val="22"/>
                              <w:vertAlign w:val="baseline"/>
                            </w:rPr>
                            <w:t xml:space="preserve">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2159952</wp:posOffset>
              </wp:positionH>
              <wp:positionV relativeFrom="paragraph">
                <wp:posOffset>-4761</wp:posOffset>
              </wp:positionV>
              <wp:extent cx="1292225" cy="35306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92225" cy="3530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nFAyYwEQWhDbzfHRa4ZJT1iCg==">CgMxLjA4AHIhMVIySDF2aUxMRzhVZ1dDWjlRR2pjUWx3NXhXaEdGd0lK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